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https://www.cnmc.es/expedientes/c073916</w:t>
      </w:r>
    </w:p>
    <w:p>
      <w:r>
        <w:t>Pages translated : 2</w:t>
      </w:r>
    </w:p>
    <w:p/>
    <w:p>
      <w:r>
        <w:rPr>
          <w:b/>
        </w:rPr>
        <w:t>[Pages 1–2]</w:t>
      </w:r>
    </w:p>
    <w:p>
      <w:r>
        <w:t>RESOLUTION</w:t>
        <w:br/>
        <w:t>FILE NO. C/0739/16 GAS EXTREMADURA/REPSOL GLP</w:t>
        <w:br/>
        <w:t>COMPETITION CHAMBER</w:t>
        <w:br/>
        <w:t>President</w:t>
        <w:br/>
        <w:t>Mr. José María Marín Quemada</w:t>
        <w:br/>
        <w:t>Counselors</w:t>
        <w:br/>
        <w:t>Mr. Josep Maria Guinart Solà</w:t>
        <w:br/>
        <w:t>Ms. María Ortiz Aguilar</w:t>
        <w:br/>
        <w:t>Mr. Benigno Valdés Díaz</w:t>
        <w:br/>
        <w:t>Secretary</w:t>
        <w:br/>
        <w:t>Mr. Tomás Suárez-Inclán González</w:t>
        <w:br/>
        <w:t>In Madrid, on April 28, 2016</w:t>
        <w:br/>
        <w:t>Having reviewed the file processed in accordance with Law 15/2007, of July 3, on the Defense of Competition, concerning the acquisition by DISTRIBUCIÓN Y COMERCIALIZACIÓN DE GAS EXTREMADURA S.A. (hereinafter, GAS EXTREMADURA) of 14,826 supply points in 220 liquefied petroleum gas (hereinafter, LPG) channeled installations, owned by REPSOL BUTANO, S.A. (hereinafter, REPSOL BUTANO), located in Extremadura (File No. C/0739/16 GAS EXTREMADURA/REPSOL GLP), and in agreement with the report and the proposal submitted by the Directorate of Competition, the Competition Chamber of the National Commission of Markets and Competition has resolved, in application of Article 57.2.a) of the aforementioned Law, to authorize the said concentration operation. However, taking into account the legislation and national and community precedents, as well as the Commission's Communication on restrictions directly linked to the execution of a concentration and necessary for that purpose (2005/C 56/03), it is proposed that in relation to the contracts signed by GAS EXTREMADURA with REPSOL BUTANO for the supply of bulk LPG, any duration exceeding 5 years shall not be considered ancillary or necessary for the same, remaining subject to the regulations on agreements between companies, provided that there are no exclusivity clauses, in which case such supply contract would not be considered ancillary or necessary from the initial moment, remaining subject to the aforementioned regulations on agreements between companies. All of this in accordance with what is indicated in the aforementioned report proposal of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