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https://www.cnmc.es/expedientes/c074016</w:t>
      </w:r>
    </w:p>
    <w:p>
      <w:r>
        <w:t>Pages translated : 1</w:t>
      </w:r>
    </w:p>
    <w:p/>
    <w:p>
      <w:r>
        <w:rPr>
          <w:b/>
        </w:rPr>
        <w:t>[Pages 1–1]</w:t>
      </w:r>
    </w:p>
    <w:p>
      <w:r>
        <w:t>RESOLUTION</w:t>
        <w:br/>
        <w:t>CASE FILE C/0740/16 CARSO/FCC/REALIA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May 19, 2016</w:t>
        <w:br/>
        <w:t>Having reviewed the case file processed in accordance with Law 15/2007, of July 3, on the Defense of Competition, notification of the concentration consisting of the acquisition of exclusive control by INVERSORA CARSO S.A. de C.V. (hereinafter, IC), through its subsidiary Control Empresarial de Capitales, S.A. de C.V. (hereinafter, CEC) of Fomento de Construcciones y Contratas, S.A. (hereinafter, FCC), and indirectly of Realia Business, S.A. (hereinafter, REALIA). (Case File C/0740/16 CARSO/FCC/REALIA),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