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https://www.cnmc.es/expedientes/c074116</w:t>
      </w:r>
    </w:p>
    <w:p>
      <w:r>
        <w:t>Pages translated : 2</w:t>
      </w:r>
    </w:p>
    <w:p/>
    <w:p>
      <w:r>
        <w:rPr>
          <w:b/>
        </w:rPr>
        <w:t>[Pages 1–2]</w:t>
      </w:r>
    </w:p>
    <w:p>
      <w:r>
        <w:t>RESOLUTION</w:t>
        <w:br/>
        <w:t>CASE FILE C-0741/16 AHEMON/EMCASA</w:t>
        <w:br/>
        <w:t>COMPETITION CHAMBER</w:t>
        <w:br/>
        <w:t>President</w:t>
        <w:br/>
        <w:t>Mr. José María Marín Quemada</w:t>
        <w:br/>
        <w:t>Counselors</w:t>
        <w:br/>
        <w:t>Mr. Josep Maria Guinart Solà</w:t>
        <w:br/>
        <w:t>Ms. María Ortiz Aguilar</w:t>
        <w:br/>
        <w:t>Mr. Fernando Torremocha y García-Sáenz</w:t>
        <w:br/>
        <w:t>Mr. Benigno Valdés Díaz</w:t>
        <w:br/>
        <w:t>Secretary</w:t>
        <w:br/>
        <w:t>Mr. Tomás Suárez-Inclán González</w:t>
        <w:br/>
        <w:t>In Barcelona, on May 5, 2016</w:t>
        <w:br/>
        <w:t>Having reviewed the case file processed in accordance with Law 15/2007, of July 3, on the Defense of Competition, notification regarding the economic concentration operation consisting of the segregation of manufacturing and distribution activities of beverages from both ESTABLECIMIENTOS INDUSTRIALES AHEMON, S.A. (AHEMON) and EMBOTELLADORA DE CANARIAS, S.A. (EMCASA) and their subsequent integration into a single newly created company, AHEMBO, S.L. (AHEMBO). (Case File C-0741/16 AHEMON/EMCASA), and in agreement with the report and proposal submitted by the Directorate of Competition, the Competition Chamber of the National Commission of Markets and Competition has resolved, in application of Article 57.2.a) of the aforementioned Law, to authorize the said concentration operation. However, taking into account the Communication from the European Commission regarding restrictions directly linked to the execution of a concentration and necessary for that purpose (2005/C 56/03) and the practice of national competition authorities, this Competition Chamber does not consider accessory or necessary for the operation, thus remaining subject to the regulations on agreements between companies, in what exceeds the duration of the participating company, the non-solicitation agreement, the non-competition agreement, and the confidentiality agreement, as well as the geographical scope of the non-competition agreement, in what exceeds the Canary Islands scope. All of this in accordance with what is indicated in paragraphs (20 to 24) of the aforementioned report proposal from the Directorate of Competition.</w:t>
      </w:r>
    </w:p>
    <w:p>
      <w: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