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https://www.cnmc.es/expedientes/c074216</w:t>
      </w:r>
    </w:p>
    <w:p>
      <w:r>
        <w:t>Pages translated : 2</w:t>
      </w:r>
    </w:p>
    <w:p/>
    <w:p>
      <w:r>
        <w:rPr>
          <w:b/>
        </w:rPr>
        <w:t>[Pages 1–2]</w:t>
      </w:r>
    </w:p>
    <w:p>
      <w:r>
        <w:t>RESOLUTION</w:t>
        <w:br/>
        <w:t>CASE FILE C/0742/16 MAHOU/CERMADIS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April 25, 2016</w:t>
        <w:br/>
        <w:t>Having reviewed the case file processed in accordance with Law 15/2007, of July 3, on the Defense of Competition, concerning the acquisition of exclusive control by MAHOU, S.A. (MAHOU) over CERMADIS, S.L. (CERMADIS) (Case File C/0742/16 MAHOU/CERMADIS), and in agreement with the report and proposal submitted by the Competition Directorate, the Competition Chamber of the Council of the National Commission on Markets and Competition has resolved, in application of art. 57.2.a) of the aforementioned Law, to authorize the said concentration operation. However, taking into account the legislation and national and community precedents, as well as the Commission's Communication on restrictions directly linked to the execution of a concentration and necessary for that purpose (2005/C 56/03), regarding the obligation of confidentiality, any term exceeding 3 years is not considered either accessory or necessary for the operation and is therefore subject to the regulations regarding agreements between companies. All of this in accordance with what is indicated in paragraphs (11 and 12)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