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https://www.cnmc.es/expedientes/c074316</w:t>
      </w:r>
    </w:p>
    <w:p>
      <w:r>
        <w:t>Pages translated : 1</w:t>
      </w:r>
    </w:p>
    <w:p/>
    <w:p>
      <w:r>
        <w:rPr>
          <w:b/>
        </w:rPr>
        <w:t>[Pages 1–1]</w:t>
      </w:r>
    </w:p>
    <w:p>
      <w:r>
        <w:t>RESOLUTION</w:t>
        <w:br/>
        <w:t>CASE FILE C/0743/16 DIEBOLD – WINCOR NIXDORF</w:t>
        <w:br/>
        <w:t>COMPETITION CHAMBER</w:t>
      </w:r>
    </w:p>
    <w:p>
      <w:r>
        <w:t>President</w:t>
        <w:br/>
        <w:t>Mr. José María Marín Quemada</w:t>
      </w:r>
    </w:p>
    <w:p>
      <w:r>
        <w:t>Counselors</w:t>
        <w:br/>
        <w:t>Mr. Josep Maria Guinart Solà</w:t>
        <w:br/>
        <w:t>Ms. María Ortiz Aguilar</w:t>
        <w:br/>
        <w:t>Mr. Fernando Torremocha y García-Sáenz</w:t>
        <w:br/>
        <w:t>Mr. Benigno Valdés Díaz</w:t>
      </w:r>
    </w:p>
    <w:p>
      <w:r>
        <w:t>Secretary</w:t>
        <w:br/>
        <w:t>Mr. Miguel Sánchez Blanco, Deputy Secretary of the Council.</w:t>
      </w:r>
    </w:p>
    <w:p>
      <w:r>
        <w:t>In Madrid, on May 26, 2016</w:t>
      </w:r>
    </w:p>
    <w:p>
      <w:r>
        <w:t>Having reviewed the case file processed in accordance with Law 15/2007, of July 3, on the Defense of Competition, notification of the economic concentration operation consisting of the acquisition by DIEBOLD INCORPORATED (DIEBOLD) of exclusive control of WINCOR NIXDORF AG (WINCOR NIXDORF) through a voluntary public takeover bid (OPA) for all the issued and outstanding ordinary shares of WINCOR NIXDORF, (Case File C/0743/16 DIEBOLD/WINCOR NIXDORF),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