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https://www.cnmc.es/expedientes/c074416</w:t>
      </w:r>
    </w:p>
    <w:p>
      <w:r>
        <w:t>Pages translated : 1</w:t>
      </w:r>
    </w:p>
    <w:p/>
    <w:p>
      <w:r>
        <w:rPr>
          <w:b/>
        </w:rPr>
        <w:t>[Pages 1–1]</w:t>
      </w:r>
    </w:p>
    <w:p>
      <w:r>
        <w:t>RESOLUTION</w:t>
        <w:br/>
        <w:t>CASE FILE C/0744/16 JOHNSON ELECTRIC/AML SYSTEMS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Barcelona, on May 5, 2016</w:t>
        <w:br/>
        <w:t>Having reviewed the case file processed in accordance with Law 15/2007, of July 3, on the Defense of Competition, notification regarding the economic concentration operation consisting of the acquisition by JOHNSON ELECTRIC INTERNATIONAL AG (JOHNSON ELECTRIC) of exclusive control of AML DÉVELOPPEMENT, S.A.S. (AML SYSTEMS) (Case File C/0744/16 JOHNSON ELECTRIC/AML SYSTEMS),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