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https://www.cnmc.es/expedientes/c074516</w:t>
      </w:r>
    </w:p>
    <w:p>
      <w:r>
        <w:t>Pages translated : 1</w:t>
      </w:r>
    </w:p>
    <w:p/>
    <w:p>
      <w:r>
        <w:rPr>
          <w:b/>
        </w:rPr>
        <w:t>[Pages 1–1]</w:t>
      </w:r>
    </w:p>
    <w:p>
      <w:r>
        <w:t>RESOLUTION</w:t>
        <w:br/>
        <w:t>CASE FILE C-0745/16 CECOFAR/GRUPO FARMANOVA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May 5, 2016</w:t>
        <w:br/>
        <w:t>Having reviewed the case file processed in accordance with Law 15/2007, of July 3, on the Defense of Competition, notification regarding the economic concentration operation consisting of the merger between CECOFAR, CENTRO COOPERATIVO FARMACÉUTICO S.COOP.AND, the cooperative societies members of GRUPO FARMANOVA, and the society COOPERATIVA FARMACÉUTICA DE CIUDAD REAL, COFARCIR (Case File C-0745/16 CECOFAR/GRUPO FARMANOVA), and being in agreement with the report and proposal submitted by the Directorate of Competition, the Competition Chamber of the National Commission of Markets and Competition has resolved, in application of Article 57.2.a) of the aforementioned Law, to authorize the aforementioned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