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https://www.cnmc.es/expedientes/c074616</w:t>
      </w:r>
    </w:p>
    <w:p>
      <w:r>
        <w:t>Pages translated : 2</w:t>
      </w:r>
    </w:p>
    <w:p/>
    <w:p>
      <w:r>
        <w:rPr>
          <w:b/>
        </w:rPr>
        <w:t>[Pages 1–2]</w:t>
      </w:r>
    </w:p>
    <w:p>
      <w:r>
        <w:t>RESOLUTION</w:t>
        <w:br/>
        <w:t>CASE FILE C-0746/16 GAMESA/CAF/NEM</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Barcelona, on May 5, 2016</w:t>
        <w:br/>
        <w:t>Having reviewed the case file processed in accordance with Law 15/2007, of July 3, on the Defense of Competition, notification regarding the economic concentration operation consisting of the acquisition by GAMESA ENERGÍA, S.A.U. (GAMESA ENERGÍA) and INVERSIONES EN CONCESIONES FERROVIARIAS, S.A.U. (ICF) of joint control of NUEVAS ESTRATEGIAS DE MANTENIMIENTO, S.L. (NEM) (Case File C-0746/16 GAMESA/CAF/NEM),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However, taking into account the legislation and national and community precedents, as well as the Communication from the European Commission, the restrictions agreed upon by the parties in the seventh clause of the Partnership Agreement are not considered ancillary or necessary for the operation and therefore, will be subject to the regulations regarding agreements between companies. All of this in accordance with what is indicated in paragraph (17)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