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https://www.cnmc.es/expedientes/c074716</w:t>
      </w:r>
    </w:p>
    <w:p>
      <w:r>
        <w:t>Pages translated : 1</w:t>
      </w:r>
    </w:p>
    <w:p/>
    <w:p>
      <w:r>
        <w:rPr>
          <w:b/>
        </w:rPr>
        <w:t>[Pages 1–1]</w:t>
      </w:r>
    </w:p>
    <w:p>
      <w:r>
        <w:t>RESOLUTION</w:t>
        <w:br/>
        <w:t>CASE FILE C/0747/16 GLINTT/ACTIVOS ALLIANCE</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June 9, 2016</w:t>
        <w:br/>
        <w:t>Having reviewed the case file processed in accordance with Law 15/2007, of July 3, on the Defense of Competition, notification of the economic concentration operation consisting of the acquisition by Consoft, S.A.U. (CONSOFT), a subsidiary of Glintt – Global Intelligent Technologies, S.A. (GLINTT), of the client portfolio of Alliance Healthcare Spain, S.A. (ALLIANCE) through the migration of the Pharmaplus platform (software supplied by ALLIANCE for the management of pharmacy offices) to the Farmatic platform (management software for pharmacy offices developed by CONSOFT, (Case File C/0747/16 GLINTT/ACTIVOS ALLIANCE), and being in agreement with the report and proposal submitted by the Directorate of Competition, the Competition Chamber of the National Commission on Markets and Competition has resolved, in application of Article 57.2.a) of the aforementioned Law, to authorize the said concentration operation.</w:t>
        <w:b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