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https://www.cnmc.es/expedientes/c074816</w:t>
      </w:r>
    </w:p>
    <w:p>
      <w:r>
        <w:t>Pages translated : 2</w:t>
      </w:r>
    </w:p>
    <w:p/>
    <w:p>
      <w:r>
        <w:rPr>
          <w:b/>
        </w:rPr>
        <w:t>[Pages 1–2]</w:t>
      </w:r>
    </w:p>
    <w:p>
      <w:r>
        <w:t>RESOLUTION</w:t>
        <w:br/>
        <w:t>CASE FILE C/0748/16 BIMBO/PANRICO</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June 21, 2016</w:t>
      </w:r>
    </w:p>
    <w:p>
      <w:r>
        <w:t>Having reviewed the case file processed in accordance with Law 15/2007, of July 3, on the Defense of Competition, notification of the economic concentration operation consisting of the acquisition by BAKERY IBERIAN INVESTMENTS, S.L. (BII), the Spanish subsidiary of GRUPO BIMBO, S.A.B. de C.V. (BIMBO), of the entire share capital of PANRICO, S.A.U. (PANRICO) and the subsequent transfer in a single act of the packaged bread business and bread substitutes with the manufacturer's brand (MDF) to ADAM FOODS, S.L.U. (AF) (Case File C/0748/16 BIMBO/PANRICO), and being in agreement with the report and proposal submitted by the Directorate of Competition, the Competition Chamber of the National Commission on Markets and Competition has resolved, in application of Article 57.2.b) of the aforementioned Law, to authorize the said concentration operation subject to the fulfillment of the commitments presented by BIMBO on June 13, 2016. However, taking into account the Communication from the European Commission regarding restrictions directly linked to the execution of a concentration and necessary for that purpose (2005/C 56/03) and the practice of national competition authorities, this Competition Chamber does not consider the duration of the confidentiality clause, to the extent that it exceeds three years, to be accessory or necessary for the operation, thus remaining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