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https://www.cnmc.es/expedientes/c074916</w:t>
      </w:r>
    </w:p>
    <w:p>
      <w:r>
        <w:t>Pages translated : 1</w:t>
      </w:r>
    </w:p>
    <w:p/>
    <w:p>
      <w:r>
        <w:rPr>
          <w:b/>
        </w:rPr>
        <w:t>[Pages 1–1]</w:t>
      </w:r>
    </w:p>
    <w:p>
      <w:r>
        <w:t>RESOLUTION</w:t>
        <w:br/>
        <w:t>CASE FILE C/0749/16 CAIRO/RCS</w:t>
        <w:br/>
        <w:t>COMPETITION CHAMBER</w:t>
        <w:br/>
        <w:t>President</w:t>
        <w:br/>
        <w:t>Mr. José María Marín Quemada</w:t>
        <w:br/>
        <w:t>Counselors</w:t>
        <w:br/>
        <w:t>Mr. Josep Maria Guinart Solà</w:t>
        <w:br/>
        <w:t>Ms. María Ortiz Aguilar</w:t>
        <w:br/>
        <w:t>Mr. Fernando Torremocha y García-Sáenz</w:t>
        <w:br/>
        <w:t>Mr. Benigno Valdés Díaz</w:t>
        <w:br/>
        <w:t>Secretary</w:t>
        <w:br/>
        <w:t>Mr. Tomás Suárez-Inclán González</w:t>
        <w:br/>
        <w:t>In Madrid, on May 12, 2016</w:t>
        <w:br/>
        <w:t>Having reviewed the case file processed in accordance with Law 15/2007, of July 3, on the Defense of Competition, notification regarding the acquisition by CAIRO COMMUNICATION S.p.a (CAIRO) of exclusive control of RCS MEDIA GROUP S.p.a. (RCS), through a public offer to acquire 100% of the shares of RCS by CAIRO (Case File C/0749/16 CAIRO/RCS), and in agreement with the report and proposal submitted by the Competition Directorate, the Competition Chamber of the National Commission on Markets and Competition has resolved, in application of Article 57.2.a) of the aforementioned Law, to authorize the said concentration operation.</w:t>
        <w:br/>
        <w:t>This Resolution shall be communicated to the Competition Directorate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