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https://www.cnmc.es/expedientes/c075016</w:t>
      </w:r>
    </w:p>
    <w:p>
      <w:r>
        <w:t>Pages translated : 1</w:t>
      </w:r>
    </w:p>
    <w:p/>
    <w:p>
      <w:r>
        <w:rPr>
          <w:b/>
        </w:rPr>
        <w:t>[Pages 1–1]</w:t>
      </w:r>
    </w:p>
    <w:p>
      <w:r>
        <w:t>RESOLUTION</w:t>
        <w:br/>
        <w:t>CASE FILE C/0750/16 CINVEN/ GRUPO TINSA</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May 19, 2016</w:t>
      </w:r>
    </w:p>
    <w:p>
      <w:r>
        <w:t>Having reviewed the case file processed in accordance with Law 15/2007, of July 3, on the Defense of Competition, notification of the concentration consisting of the acquisition of exclusive control of ASERTIA REAL STATE, S.L.U. and indirectly of its Spanish and foreign subsidiaries (GRUPO TINSA), by the FIFTH CINVEN FUND (CINVEN), through the company Elisandra Spain X, S.L.U (ELISANDRA), a vehicle company wholly owned by CINVEN. (Case File C/0750/16 CINVEN/ GRUPO TINSA), and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