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https://www.cnmc.es/expedientes/c075116</w:t>
      </w:r>
    </w:p>
    <w:p>
      <w:r>
        <w:t>Pages translated : 1</w:t>
      </w:r>
    </w:p>
    <w:p/>
    <w:p>
      <w:r>
        <w:rPr>
          <w:b/>
        </w:rPr>
        <w:t>[Pages 1–1]</w:t>
      </w:r>
    </w:p>
    <w:p>
      <w:r>
        <w:t>RESOLUTION</w:t>
        <w:br/>
        <w:t>CASE FILE C-0751/16 HENGTONG/CCZ</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May 12, 2016</w:t>
        <w:br/>
        <w:t xml:space="preserve">Having reviewed the case file processed in accordance with Law 15/2007, of July 3, on the Defense of Competition, notification regarding the acquisition by HENGTONG OPTIC-ELECTRIC LTD., (HENGTONG GROUP) of all the shares that POWER TECHNOLOGIES INTERNATIONAL HOLDING PROPRIETARY LIMITED (POWERTECH GROUP) holds in the Dutch company ABERDARE HOLDINGS EUROPE BV (ABERDARE), which holds 100% of the shares of CABLES DE COMUNICACIONES ZARAGOZA, S.L. (CCZ). (Case File C-0751/16 HENGTONG/CCZ),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