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https://www.cnmc.es/expedientes/c075216</w:t>
      </w:r>
    </w:p>
    <w:p>
      <w:r>
        <w:t>Pages translated : 2</w:t>
      </w:r>
    </w:p>
    <w:p/>
    <w:p>
      <w:r>
        <w:rPr>
          <w:b/>
        </w:rPr>
        <w:t>[Pages 1–2]</w:t>
      </w:r>
    </w:p>
    <w:p>
      <w:r>
        <w:t>RESOLUTION</w:t>
        <w:br/>
        <w:t>CASE FILE C/0752/16 INTERNATIONAL PAPER/HOLMEN PAPER MADRID BUSINESS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May 19, 2016</w:t>
        <w:br/>
        <w:t>Having reviewed the case file processed in accordance with Law 15/2007, of July 3, on the Defense of Competition, notification of the concentration operation consisting of the acquisition by INTERNATIONAL PAPER COMPANY of exclusive control over the Business Unit of HOLMEN PAPER MADRID, S.L.U. (through the subsidiary International Paper Madrid Mill, S.L.U.) and over the company CARTÓN Y PAPEL RECICLADO, S.A. (through the subsidiary IP Container Holdings) (Case File C/0752/16 INTERNATIONAL PAPER/HOLMEN PAPER MADRID),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However, taking into account the legislation and national and community precedents, as well as the Communication from the European Commission, the restriction agreed upon by the parties contained in clause 15 of the Purchase Agreement regarding the obligation of non-solicitation goes beyond what is reasonably required by the notified concentration operation and, therefore, will be subject to the regulations regarding agreements between companies. All of this in accordance with what is indicated in paragraph (7) of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