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https://www.cnmc.es/expedientes/c075316</w:t>
      </w:r>
    </w:p>
    <w:p>
      <w:r>
        <w:t>Pages translated : 2</w:t>
      </w:r>
    </w:p>
    <w:p/>
    <w:p>
      <w:r>
        <w:rPr>
          <w:b/>
        </w:rPr>
        <w:t>[Pages 1–2]</w:t>
      </w:r>
    </w:p>
    <w:p>
      <w:r>
        <w:t>RESOLUTION</w:t>
        <w:br/>
        <w:t>CASE FILE C-0753/16 CIDACOS/SELECCIÓN DE PRODUCTOS LEONESES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Miguel Sánchez Blanco. Deputy Secretary of the Council.</w:t>
        <w:br/>
        <w:t>In Madrid, on May 26, 2016</w:t>
        <w:br/>
        <w:t>Having reviewed the case file processed in accordance with Law 15/2007, of July 3, on the Defense of Competition, notification of the economic concentration operation consisting of the acquisition of exclusive control by CONSERVAS EL CIDACOS, S.A. (CIDACOS) over the company SELECCIÓN DE PRODUCTOS LEONESES, S.A. (SEPROLESA), (Case File C-0753/16 CIDACOS/SELECCIÓN DE PRODUCTOS LEONESES),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Likewise, taking into account the Communication from the European Commission on restrictions directly linked to the execution of a concentration and necessary for that purpose (2005/C 56/03) and the practice of national competition authorities, this Competition Chamber does not consider accessory or necessary for the operation, thus remaining subject to the regulations on agreements between companies, the scope of the non-compete clause, and the duration of the confidentiality clause, insofar as they exceed what is indicated in the aforementioned Communication. All of this in accordance with what is stated in paragraph (18) of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