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https://www.cnmc.es/expedientes/c075416</w:t>
      </w:r>
    </w:p>
    <w:p>
      <w:r>
        <w:t>Pages translated : 1</w:t>
      </w:r>
    </w:p>
    <w:p/>
    <w:p>
      <w:r>
        <w:rPr>
          <w:b/>
        </w:rPr>
        <w:t>[Pages 1–1]</w:t>
      </w:r>
    </w:p>
    <w:p>
      <w:r>
        <w:t>RESOLUTION</w:t>
        <w:br/>
        <w:t>CASE FILE C/0754/16, MIRION/CANBERRA</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June 9, 2016</w:t>
        <w:br/>
        <w:t xml:space="preserve">Having reviewed the case file processed in accordance with Law 15/2007, of July 3, on the Defense of Competition, notification of the economic concentration operation consisting of the acquisition of control by MIRION TECHNOLOGIES, INC (hereinafter, MIRION) of 100% of the share capital of the companies CANBERRA INDUSTRIES, INC and CANBERRA FRANCE, SAS., (hereinafter, CANBERRA), (Case File C/0754/16, MIRION/CANBERRA),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 </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