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https://www.cnmc.es/expedientes/c075516</w:t>
      </w:r>
    </w:p>
    <w:p>
      <w:r>
        <w:t>Pages translated : 2</w:t>
      </w:r>
    </w:p>
    <w:p/>
    <w:p>
      <w:r>
        <w:rPr>
          <w:b/>
        </w:rPr>
        <w:t>[Pages 1–2]</w:t>
      </w:r>
    </w:p>
    <w:p>
      <w:r>
        <w:t>RESOLUTION</w:t>
        <w:br/>
        <w:t>CASE FILE C/0755/16 CARREFOUR/EROSKI (Assets)</w:t>
        <w:br/>
        <w:t>COMPETITION CHAMBER</w:t>
      </w:r>
    </w:p>
    <w:p>
      <w:r>
        <w:t>President</w:t>
        <w:br/>
        <w:t>Mr. José María Marín Quemada</w:t>
      </w:r>
    </w:p>
    <w:p>
      <w:r>
        <w:t>Counselors</w:t>
        <w:br/>
        <w:t>Mr. Josep Maria Guinart Solà</w:t>
        <w:br/>
        <w:t>Ms. María Ortiz Aguilar</w:t>
        <w:br/>
        <w:t>Mr. Fernando Torremocha y García-Sáenz</w:t>
        <w:br/>
        <w:t>Mr. Benigno Valdés Díaz</w:t>
      </w:r>
    </w:p>
    <w:p>
      <w:r>
        <w:t>Secretary</w:t>
        <w:br/>
        <w:t>Mr. Tomás Suárez-Inclán González</w:t>
      </w:r>
    </w:p>
    <w:p>
      <w:r>
        <w:t>In Madrid, on June 2, 2016</w:t>
      </w:r>
    </w:p>
    <w:p>
      <w:r>
        <w:t>Having reviewed the case file processed in accordance with Law 15/2007, of July 3, on the Defense of Competition, notification of the economic concentration operation consisting of the acquisition of exclusive control of the assets linked to the operation of 36 hypermarkets, 8 shopping centers, and 22 service stations adjacent to some hypermarkets of the EROSKI group by CENTROS COMERCIALES CARREFOUR, S.A. (CARREFOUR), (Case File C/0755/16 CARREFOUR/EROSKI (Assets)),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taking into account the existing national and community precedents in the matter and what is established in the Commission Communication on restrictions directly linked to the execution of a concentration and necessary for that purpose (2005/C 56/03), this Competition Chamber considers that the right of first offer is not linked to the notified concentration operation, not being considered an integral part of it. All of this in accordance with what is indicated in the aforementioned report proposal of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