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https://www.cnmc.es/expedientes/c075616</w:t>
      </w:r>
    </w:p>
    <w:p>
      <w:r>
        <w:t>Pages translated : 1</w:t>
      </w:r>
    </w:p>
    <w:p/>
    <w:p>
      <w:r>
        <w:rPr>
          <w:b/>
        </w:rPr>
        <w:t>[Pages 1–1]</w:t>
      </w:r>
    </w:p>
    <w:p>
      <w:r>
        <w:t>RESOLUTION</w:t>
        <w:br/>
        <w:t>CASE FILE C/0756/16 NEWCO/RCS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June 9, 2016</w:t>
        <w:br/>
        <w:t>Having reviewed the case file processed in accordance with Law 15/2007, of July 3, on the Defense of Competition, notification of the economic concentration operation consisting of the acquisition by a newly created company (NEWCO) of exclusive control of RCS MEDIA GROUP, S.p.a. (RCS), through a public offer to acquire 100% of the shares of RCS by NEWCO, (Case File C/0756/16 NEWCO/RCS),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