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https://www.cnmc.es/expedientes/c075816</w:t>
      </w:r>
    </w:p>
    <w:p>
      <w:r>
        <w:t>Pages translated : 2</w:t>
      </w:r>
    </w:p>
    <w:p/>
    <w:p>
      <w:r>
        <w:rPr>
          <w:b/>
        </w:rPr>
        <w:t>[Pages 1–2]</w:t>
      </w:r>
    </w:p>
    <w:p>
      <w:r>
        <w:t>RESOLUTION</w:t>
        <w:br/>
        <w:t>C/0758/16 GAS NATURAL FENOSA/ GLP REPSOL BUTANO-ASSETS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file processed in accordance with Law 15/2007, of July 3, on the Defense of Competition, notification of the economic concentration operation consisting of the acquisition by GAS NATURAL DISTRIBUCIÓN SDG, S.A. (hereinafter, GND), a subsidiary of the GAS NATURAL FENOSA group, of a maximum of 249,715 liquefied petroleum gas (hereinafter, LPG) supply points, owned by REPSOL BUTANO, S.A. (hereinafter, REPSOL BUTANO). (File C/0758/16 GAS NATURAL FENOSA/ GLP REPSOL BUTANO-ASSETS), and being in agreement with the report and proposal submitted by the Competition Directorate, the Competition Chamber of the National Commission of Markets and Competition has resolved, in application of Article 57.2.b) of the aforementioned Law, to authorize the said concentration operation subject to the fulfillment of the final commitments presented by GNF on July 8, 2016. Likewise, taking into account the practice of the CNMC and what is established in the Commission Communication on restrictions directly linked to the execution of a concentration and necessary for that purpose (2005/C 56/03), any duration exceeding 5 years is not considered ancillary or necessary for it, remaining subject to the regulations on agreements between companies, provided that there are no exclusivity clauses, in which case such supply contract would not be considered ancillary or necessary from the initial moment, remaining subject to the aforementioned regulations on agreements between companies. All of this, in accordance with what is established in the aforementioned Proposal Report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