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https://www.cnmc.es/expedientes/c075916</w:t>
      </w:r>
    </w:p>
    <w:p>
      <w:r>
        <w:t>Pages translated : 2</w:t>
      </w:r>
    </w:p>
    <w:p/>
    <w:p>
      <w:r>
        <w:rPr>
          <w:b/>
        </w:rPr>
        <w:t>[Pages 1–2]</w:t>
      </w:r>
    </w:p>
    <w:p>
      <w:r>
        <w:t>RESOLUTION</w:t>
        <w:br/>
        <w:t>C/0759/16 NATURGAS/ GLP REPSOL BUTANO-ASSETS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28, 2016</w:t>
        <w:br/>
        <w:t>Having reviewed the file processed in accordance with Law 15/2007, of July 3, on the Defense of Competition, notification of the economic concentration operation consisting of the acquisition by NATURGAS ENERGÍA GRUPO, S.A., through NATURGAS ENERGÍA DISTRIBUCIÓN, S.A.U., (hereinafter, NATURGAS), of 82,457 liquefied petroleum gas (hereinafter, LPG) supply points, owned by REPSOL BUTANO, S.A. (hereinafter, REPSOL BUTANO), located in Asturias, Cantabria, and the Basque Country. (Expte. C/0759/16 NATURGAS/ GLP REPSOL BUTANO-ASSETS), and being in agreement with the report and proposal submitted by the Directorate of Competition, the Competition Chamber of the National Commission of Markets and Competition has resolved, in application of Article 57.2.b) of the aforementioned Law, to authorize the said concentration operation subject to the fulfillment of the commitments presented by NATURGAS on July 11, 2016. Likewise, taking into account the practice of the CNMC and what is established in the Commission Communication on restrictions directly linked to the execution of a concentration and necessary for that purpose (2005/C 56/03), this Competition Chamber proposes that the contract for the bulk supply of LPG signed between the parties be excluded from the authorization, insofar as the exclusivity in the supply in favor of REPSOL BUTANO is a restriction that is not considered ancillary to the concentration operation, requiring an express waiver of exclusivity by REPSOL BUTANO, in accordance with what was agreed in the Addendum to the contract signed by the parties on July 6, 2016. All of this, in accordance with what is established in the aforementioned Proposal Report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