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https://www.cnmc.es/expedientes/c076416</w:t>
      </w:r>
    </w:p>
    <w:p>
      <w:r>
        <w:t>Pages translated : 2</w:t>
      </w:r>
    </w:p>
    <w:p/>
    <w:p>
      <w:r>
        <w:rPr>
          <w:b/>
        </w:rPr>
        <w:t>[Pages 1–2]</w:t>
      </w:r>
    </w:p>
    <w:p>
      <w:r>
        <w:t>RESOLUTION</w:t>
        <w:br/>
        <w:t>FILE C/0764/16 PAI/ATOS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30, 2016</w:t>
        <w:br/>
        <w:t>Having reviewed the file processed in accordance with Law 15/2007, of July 3, on the Defense of Competition, notification of the economic concentration operation consisting of the acquisition of exclusive control by PAI Partners S.A.S., over the company Atos Medical AB (File C/0764/16 PAI/ATOS),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 Likewise, and taking into account the Communication of the European Commission on restrictions directly linked to the execution of a concentration and necessary for that purpose (2005/C 56/03) and the practice of national competition authorities, this Competition Chamber considers that since the duration of the confidentiality agreement provided in the contract is 2 years, and therefore does not extend beyond the 3 years established in the aforementioned Communication, in view of its content and temporal scope, and taking into account what is established by the aforementioned Communication, it can be considered as an ancillary and necessary restriction for the operation. All of this in accordance with what is indicated in the aforementioned report proposal of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