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Spanish</w:t>
      </w:r>
    </w:p>
    <w:p>
      <w:r>
        <w:t>Source URL       : https://www.cnmc.es/expedientes/c077016</w:t>
      </w:r>
    </w:p>
    <w:p>
      <w:r>
        <w:t>Pages translated : 1</w:t>
      </w:r>
    </w:p>
    <w:p/>
    <w:p>
      <w:r>
        <w:rPr>
          <w:b/>
        </w:rPr>
        <w:t>[Pages 1–1]</w:t>
      </w:r>
    </w:p>
    <w:p>
      <w:r>
        <w:t>RESOLUTION</w:t>
        <w:br/>
        <w:t>CASE FILE C/0770/16 CARREFOUR/HISPANIA (Assets)</w:t>
        <w:br/>
        <w:t>COMPETITION CHAMBER</w:t>
        <w:br/>
        <w:t>President</w:t>
        <w:br/>
        <w:t>Mr. José María Marín Quemada</w:t>
        <w:br/>
        <w:t>Counselors</w:t>
        <w:br/>
        <w:t>Mr. Josep Maria Guinart Solà</w:t>
        <w:br/>
        <w:t>Ms. María Ortiz Aguilar</w:t>
        <w:br/>
        <w:t>Mr. Fernando Torremocha y García-Sáenz</w:t>
        <w:br/>
        <w:t>Mr. Benigno Valdés Díaz</w:t>
        <w:br/>
        <w:t>Secretary</w:t>
        <w:br/>
        <w:t>Mr. Tomás Suárez-Inclán González</w:t>
        <w:br/>
        <w:t>In Madrid, on July 14, 2016</w:t>
        <w:br/>
        <w:t>Having reviewed the case file processed in accordance with Law 15/2007, of July 3, on the Defense of Competition, notification of the economic concentration operation consisting of the acquisition by Carmila S.A.S. (hereinafter CARMILA), owned by the Carrefour Group, of a portfolio of assets belonging to Hispania Retail Properties, S.L.U. (hereinafter HISPANIA) linked to the operation of three shopping galleries located in the municipalities of Badalona, Burgos, and Murcia (hereinafter ASSETS). (Case File C/0770/16 CARREFOUR/HISPANIA (Assets), and being in agreement with the report and proposal submitted by the Directorate of Competition, the Competition Chamber of the National Commission of Markets and Competition has resolved, in application of Article 57.2.a) of the aforementioned Law, to authorize the said concentration operation.</w:t>
        <w:br/>
        <w:t>This Resolution shall be communicated to the Directorate of Competition of the National Commission of Markets and Competition and notified to the interested party, informing them that it concludes the administrative procedure and that a contentious-administrative appeal may be filed against it before the National Court, within two months from the day following its notification.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