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https://www.cnmc.es/expedientes/c077416</w:t>
      </w:r>
    </w:p>
    <w:p>
      <w:r>
        <w:t>Pages translated : 2</w:t>
      </w:r>
    </w:p>
    <w:p/>
    <w:p>
      <w:r>
        <w:rPr>
          <w:b/>
        </w:rPr>
        <w:t>[Pages 1–2]</w:t>
      </w:r>
    </w:p>
    <w:p>
      <w:r>
        <w:t>RESOLUTION</w:t>
        <w:br/>
        <w:t>CASE FILE C/0774/16 VÄRDE/GRUPO PROCISA/LFGA</w:t>
        <w:br/>
        <w:t>COMPETITION CHAMBER</w:t>
        <w:br/>
        <w:t>President</w:t>
        <w:br/>
        <w:t>Mr. José María Marín Quemada</w:t>
        <w:br/>
        <w:t>Counselors</w:t>
        <w:br/>
        <w:t>Mr. Josep Maria Guinart Solà</w:t>
        <w:br/>
        <w:t>Ms. María Ortiz Aguilar</w:t>
        <w:br/>
        <w:t>Mr. Benigno Valdés Díaz</w:t>
        <w:br/>
        <w:t>Secretary</w:t>
        <w:br/>
        <w:t>Mr. Tomás Suárez-Inclán González</w:t>
        <w:br/>
        <w:t>In Madrid, on July 21, 2016</w:t>
        <w:br/>
        <w:t>Having reviewed the case file processed in accordance with Law 15/2007, of July 3, on the Defense of Competition, notification of the economic concentration operation consisting of the joint control acquisition over a newly created entity, La Finca Global Assets, S.L. (LFGA), by Värde Partners Inc. (Värde), through its subsidiary Mansfield Invest, S.A.U. (Mansfield), and Grupo Promociones y Conciertos Inmobiliarios, S.L. (Grupo Procisa). (Case File C/0774/16 VÄRDE/GRUPO PROCISA/LFGA), and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 Furthermore, taking into account the practice of the CNMC and what is established in the Commission Communication on restrictions directly linked to the execution of a concentration and necessary for that purpose (2005/C 56/03), this Competition Chamber regarding ancillary restrictions, considers that in the present case, the content of the non-solicitation clauses and supply obligation does not go beyond what is reasonably required by the concentration operation provided that, in the case of the non-solicitation clause, it is limited to the product and geographical scope defined by the notifying parties in the notification form and to the participating company LFGA. Additionally, regarding the duration of the non-solicitation clause, it is not considered ancillary or necessary for the operation to the extent that it extends two additional years beyond the duration of the participating company itself. Therefore, to the extent that it exceeds the specified limits, the non-solicitation clause is not considered an ancillary restriction and, therefore, will be subject to the regulations regarding agreements between companies. All of this, in accordance with what is established in the aforementioned Proposal Report of the Directorate of Competition.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