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https://www.cnmc.es/expedientes/c077516</w:t>
      </w:r>
    </w:p>
    <w:p>
      <w:r>
        <w:t>Pages translated : 2</w:t>
      </w:r>
    </w:p>
    <w:p/>
    <w:p>
      <w:r>
        <w:rPr>
          <w:b/>
        </w:rPr>
        <w:t>[Pages 1–2]</w:t>
      </w:r>
    </w:p>
    <w:p>
      <w:r>
        <w:t>RESOLUTION</w:t>
        <w:br/>
        <w:t>CASE FILE C/0775/16 CORPFIN/WAVIP/PALEX</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14, 2016</w:t>
        <w:br/>
        <w:t>Having reviewed the case file processed in accordance with Law 15/2007, of July 3, on the Defense of Competition, notification of the economic concentration operation regarding the joint control acquisition of Palex Medical, S.A. (“Palex”) by the companies Corpfin Capital Asesores, S.A., S.G.E.I.C (“Corpfin”) and Wavip Group, S.L.U. (“Wavip”), through BidCo Palex S.L. (BidCo Palex). Prior to the operation, Wavip held exclusive control of Palex (Case File C/0775/16 CORPFIN/WAVIP/PALEX),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the non-solicitation and non-competition agreements do not form part of the operation to the extent that they exceed the duration of the joint control itself, remaining subject to the regulations on agreements between companies. All of this, in accordance with what is established in the aforementioned Proposal Report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