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https://www.cnmc.es/expedientes/c077716</w:t>
      </w:r>
    </w:p>
    <w:p>
      <w:r>
        <w:t>Pages translated : 2</w:t>
      </w:r>
    </w:p>
    <w:p/>
    <w:p>
      <w:r>
        <w:rPr>
          <w:b/>
        </w:rPr>
        <w:t>[Pages 1–2]</w:t>
      </w:r>
    </w:p>
    <w:p>
      <w:r>
        <w:t>RESOLUTION</w:t>
        <w:br/>
        <w:t>CASE FILE C/0777/16 ERICSSON / ABENTEL BUSINESS</w:t>
        <w:br/>
        <w:t>COMPETITION CHAMBER</w:t>
        <w:br/>
        <w:t>President</w:t>
        <w:br/>
        <w:t>Mr. José María Marín Quemada</w:t>
        <w:br/>
        <w:t>Counselors</w:t>
        <w:br/>
        <w:t>Mr. Josep Maria Guinart Solà</w:t>
        <w:br/>
        <w:t>Ms. María Ortiz Aguilar</w:t>
        <w:br/>
        <w:t>Mr. Benigno Valdés Díaz</w:t>
        <w:br/>
        <w:t>Secretary</w:t>
        <w:br/>
        <w:t>Mr. Tomás Suárez-Inclán González</w:t>
        <w:br/>
        <w:t>In Madrid, on July 21, 2016</w:t>
        <w:br/>
        <w:t>Having reviewed the case file processed in accordance with Law 15/2007, of July 3, on the Defense of Competition, notification of the economic concentration operation consisting of the acquisition by the company Ericsson España, S.A.U. (“ERICSSON”) of exclusive control over the assets that make up the Business of deployment, operation, and maintenance of fixed telecommunications network equipment of Abentel Telecomunicaciones, S.A. (“The ABENTEL Business” or “ABENTEL”), through the acquisition of all its assets and liabilities, as well as any other additional assets and the employment relationships maintained with the employees, through a purchase agreement dated July 5, 2016 (Case File C/0777/16 ERICSSON / ABENTEL BUSINESS),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 Furthermore, taking into account the practice of the CNMC and what is established in the Commission Communication on restrictions directly linked to the execution of a concentration and necessary for that purpose (2005/C 56/03), this Competition Chamber proposes that the non-competition agreement, the non-solicitation agreement, and the confidentiality agreement, to the extent that their last year of term is not considered ancillary restrictions to the notified concentration operation, be excluded from the authorization for what exceeds two years, remaining subject to the regulations on agreements between companies. All of this, in accordance with what is established in the aforementioned Proposal Report of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