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https://www.cnmc.es/expedientes/c077816</w:t>
      </w:r>
    </w:p>
    <w:p>
      <w:r>
        <w:t>Pages translated : 1</w:t>
      </w:r>
    </w:p>
    <w:p/>
    <w:p>
      <w:r>
        <w:rPr>
          <w:b/>
        </w:rPr>
        <w:t>[Pages 1–1]</w:t>
      </w:r>
    </w:p>
    <w:p>
      <w:r>
        <w:t>RESOLUTION</w:t>
        <w:br/>
        <w:t>CASE FILE C/0778/16 CBA/ACVIL</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28, 2016</w:t>
        <w:br/>
        <w:t>Having reviewed the case file processed in accordance with Law 15/2007, of July 3, on the Defense of Competition, notification of the economic concentration operation consisting of the acquisition of exclusive control of ACVIL APARCAMIENTOS, S.L. (hereinafter, ACVIL) by COMMONWEALTH BANK OF AUSTRALIA, LTD (hereinafter, CBA), through FIRST STATE INFRASTRUCTURE SPAIN, S.L. (Case File C/0778/16 CBA/ACVIL), and being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