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https://www.cnmc.es/expedientes/c077916</w:t>
      </w:r>
    </w:p>
    <w:p>
      <w:r>
        <w:t>Pages translated : 1</w:t>
      </w:r>
    </w:p>
    <w:p/>
    <w:p>
      <w:r>
        <w:rPr>
          <w:b/>
        </w:rPr>
        <w:t>[Pages 1–1]</w:t>
      </w:r>
    </w:p>
    <w:p>
      <w:r>
        <w:t>RESOLUTION</w:t>
        <w:br/>
        <w:t>CASE FILE C/0779/16 JIC GROUP/ SDG GROUP</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case file processed in accordance with Law 15/2007, of July 3, on the Defense of Competition, notification of the economic concentration operation consisting of the acquisition of exclusive control by CHINA JIANYIN INVESTMENT Ltd. of 100% of the capital of SDG Group SAS (Case File C/0779/16 JIC GROUP/ SDG GROUP),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