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https://www.cnmc.es/expedientes/c078116</w:t>
      </w:r>
    </w:p>
    <w:p>
      <w:r>
        <w:t>Pages translated : 2</w:t>
      </w:r>
    </w:p>
    <w:p/>
    <w:p>
      <w:r>
        <w:rPr>
          <w:b/>
        </w:rPr>
        <w:t>[Pages 1–2]</w:t>
      </w:r>
    </w:p>
    <w:p>
      <w:r>
        <w:t>RESOLUTION</w:t>
        <w:br/>
        <w:t>CASE FILE C/0781/16 ARMONEA/GERORESIDENCIAS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28, 2016</w:t>
        <w:br/>
        <w:t>Having reviewed the case file processed in accordance with Law 15/2007, of July 3, on the Defense of Competition, notification of the economic concentration operation consisting of the acquisition of exclusive control of Geroresidencias, S.L. (GERORESIDENCIAS) by Armonea, N.V. through Armonea, Residencias, S.L. (ARMONEA) by acquiring 95.47% of its shares. (Case File C/0781/16 ARMONEA/GERORESIDENCIAS),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Likewise, taking into account the practice of the CNMC and what is established in the Commission Communication on restrictions directly linked to the execution of a concentration and necessary for that purpose (2005/C 56/03), this Competition Chamber considers that the non-solicitation agreement is not part of the operation insofar as it does not affect the executives of the acquired business, being in such case subject to the applicable regulations on agreements between companies. All of this, in accordance with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