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https://www.cnmc.es/expedientes/c078416</w:t>
      </w:r>
    </w:p>
    <w:p>
      <w:r>
        <w:t>Pages translated : 1</w:t>
      </w:r>
    </w:p>
    <w:p/>
    <w:p>
      <w:r>
        <w:rPr>
          <w:b/>
        </w:rPr>
        <w:t>[Pages 1–1]</w:t>
      </w:r>
    </w:p>
    <w:p>
      <w:r>
        <w:t>RESOLUTION</w:t>
        <w:br/>
        <w:t>CASE FILE C/0784/16 MERLIN/METROVACESA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August 25, 2016</w:t>
        <w:br/>
        <w:t>Having reviewed the case file processed in accordance with Law 15/2007, of July 3, on the Defense of Competition, notification of the economic concentration operation consisting of the exclusive control acquisition by MERLIN PROPERTIES, SOCIMI, S.A., (hereinafter MERLIN) of the commercial and residential business (hereinafter ACQUIRED BUSINESS) of Metrovacesa, S.A., (hereinafter METROVACESA). (Case File C/0784/16 MERLIN/METROVACESA),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