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https://www.cnmc.es/expedientes/c078816</w:t>
      </w:r>
    </w:p>
    <w:p>
      <w:r>
        <w:t>Pages translated : 1</w:t>
      </w:r>
    </w:p>
    <w:p/>
    <w:p>
      <w:r>
        <w:rPr>
          <w:b/>
        </w:rPr>
        <w:t>[Pages 1–1]</w:t>
      </w:r>
    </w:p>
    <w:p>
      <w:r>
        <w:t>RESOLUTION</w:t>
        <w:br/>
        <w:t>CASE FILE C/0788/16 MERLIN PROPERTIES/SABA PARQUES LOGÍSTICOS</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September 15, 2016</w:t>
        <w:br/>
        <w:t>Having reviewed the case file processed in accordance with Law 15/2007, of July 3, on the Defense of Competition, notification of the economic concentration operation consisting of the exclusive control of SABA PARQUES LOGÍSTICOS, S.A.U. (hereinafter, SABA) by MERLIN PROPERTIES SOCIMI, S.A. (hereinafter, MERLIN), (Case File C/0788/16 MERLIN PROPERTIES/SABA PARQUES LOGÍSTICOS), and in agreement with the report and proposal submitted by the Directorate of Competition, the Competition Chamber of the Council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