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https://www.cnmc.es/expedientes/c078916</w:t>
      </w:r>
    </w:p>
    <w:p>
      <w:r>
        <w:t>Pages translated : 2</w:t>
      </w:r>
    </w:p>
    <w:p/>
    <w:p>
      <w:r>
        <w:rPr>
          <w:b/>
        </w:rPr>
        <w:t>[Pages 1–2]</w:t>
      </w:r>
    </w:p>
    <w:p>
      <w:r>
        <w:t>RESOLUTION</w:t>
        <w:br/>
        <w:t>CASE FILE C-0789/16 PALACIOS/FUENTETAJA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15, 2016</w:t>
        <w:br/>
        <w:t>Having reviewed the case file processed in accordance with Law 15/2007, of July 3, on the Defense of Competition, notification of the economic concentration operation consisting of the acquisition by GRUPO EMPRESARIAL PALACIOS ALIMENTACIÓN, S.A.U (GRUPO PALACIOS) of exclusive control over PRECOCINADOS FUENTETAJA, S.L.U., FUENTETAJA LOGÍSTICA, S.L.U., and CAMPIFOOD, FRANCE, S.à.r.l. (FUENTETAJA), all controlled by the Fuentetaja family, (Case File C-0789/16 PALACIOS/FUENTETAJA),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Likewise, and taking into account the Communication from the European Commission on restrictions directly linked to the execution of a concentration and necessary for that purpose (2005/C 56/03) and the practice of national competition authorities, this Chamber considers that the non-compete agreement exceeding three years should be excluded from the authorization, thus subjecting said restriction to the regulations on agreements between companies. All of this in accordance with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