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https://www.cnmc.es/expedientes/c079016</w:t>
      </w:r>
    </w:p>
    <w:p>
      <w:r>
        <w:t>Pages translated : 1</w:t>
      </w:r>
    </w:p>
    <w:p/>
    <w:p>
      <w:r>
        <w:rPr>
          <w:b/>
        </w:rPr>
        <w:t>[Pages 1–1]</w:t>
      </w:r>
    </w:p>
    <w:p>
      <w:r>
        <w:t>RESOLUTION</w:t>
        <w:br/>
        <w:t>CASE FILE C-0790/16 GRUPO MEGASA/ARCELOR MITTAL ZARAGOZA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6, 2016</w:t>
        <w:br/>
        <w:t>Having reviewed the case file processed in accordance with Law 15/2007, of July 3, on the Defense of Competition, notification of the economic concentration operation consisting of the acquisition by BIPADOSA, S.L. (GRUPO MEGASA) of the entire share capital of ARCELOR MITTAL ZARAGOZA, S.A. (AMZ), (Case File C-0790/16 GRUPO MEGASA/ARCELOR MITTAL ZARAGOZA),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