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https://www.cnmc.es/expedientes/c079316</w:t>
      </w:r>
    </w:p>
    <w:p>
      <w:r>
        <w:t>Pages translated : 1</w:t>
      </w:r>
    </w:p>
    <w:p/>
    <w:p>
      <w:r>
        <w:rPr>
          <w:b/>
        </w:rPr>
        <w:t>[Pages 1–1]</w:t>
      </w:r>
    </w:p>
    <w:p>
      <w:r>
        <w:t>RESOLUTION</w:t>
        <w:br/>
        <w:t>CASE FILE C/0793/16 AMP/AXIÓN</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October 6, 2016</w:t>
        <w:br/>
        <w:t>Having reviewed the case file processed in accordance with Law 15/2007, of July 3, on the Defense of Competition, notification of the economic concentration operation consisting of the acquisition by AMP Capital Investors Limited (AMP) of exclusive control over Axión Infraestructuras de Telecomunicaciones, S.A.U. (AXIÓN), through the indirect purchase of 100% of its share capital (Case File C/0793/16 AMP/AXIÓN),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