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https://www.cnmc.es/expedientes/c079416</w:t>
      </w:r>
    </w:p>
    <w:p>
      <w:r>
        <w:t>Pages translated : 2</w:t>
      </w:r>
    </w:p>
    <w:p/>
    <w:p>
      <w:r>
        <w:rPr>
          <w:b/>
        </w:rPr>
        <w:t>[Pages 1–2]</w:t>
      </w:r>
    </w:p>
    <w:p>
      <w:r>
        <w:t>RESOLUTION</w:t>
        <w:br/>
        <w:t>CASE FILE C/0794/16 EVONIK/AIR PRODUCTS ASSETS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September 29, 2016</w:t>
        <w:br/>
        <w:t>Having reviewed the case file processed in accordance with Law 15/2007, of July 3, on the Defense of Competition, notification of the economic concentration operation consisting of the acquisition by EVONIK INDUSTRIES AG (EVONIK) of exclusive control of the Performance Materials Division (PMD) business unit of AIR PRODUCTS AND CHEMICALS, INC. (Case File C/0794/16 EVONIK/AIR PRODUCTS ASSETS), and in agreement with the report and proposal submitted by the Directorate of Competition, the Competition Chamber of the National Commission on Markets and Competition has resolved, pursuant to Article 57.2.a) of the aforementioned Law, to authorize the said concentration operation. Likewise, and taking into account the Communication from the European Commission on restrictions directly linked to the execution of a concentration and necessary for that purpose (2005/C 56/03) and the practice of national competition authorities, this Competition Chamber has resolved that the non-solicitation agreement by EVONIK, to the extent that it benefits the seller and may exceed the duration of the non-solicitation agreement by APC, is not considered directly linked to the operation, and is therefore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