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https://www.cnmc.es/expedientes/c079616</w:t>
      </w:r>
    </w:p>
    <w:p>
      <w:r>
        <w:t>Pages translated : 1</w:t>
      </w:r>
    </w:p>
    <w:p/>
    <w:p>
      <w:r>
        <w:rPr>
          <w:b/>
        </w:rPr>
        <w:t>[Pages 1–1]</w:t>
      </w:r>
    </w:p>
    <w:p>
      <w:r>
        <w:t>RESOLUTION</w:t>
        <w:br/>
        <w:t>CASE FILE C/0796/16 INCARLOPSA/MARTÍNEZ LORIENTE</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September 29, 2016</w:t>
        <w:br/>
        <w:t>Having reviewed the case file processed in accordance with Law 15/2007, of July 3, on the Defense of Competition, notification of the economic concentration operation consisting of the acquisition by INDUSTRIAS CÁRNICAS LORIENTE PIQUERAS, S.A. (INCARLOPSA) of the production unit of MARTÍNEZ LORIENTE, S.A. (LORIENTE) developed at its plant in Tarancón (Cuenca). (Case File C-0796/16 INCARLOPSA/MARTÍNEZ LORIENTE), and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