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https://www.cnmc.es/expedientes/c079916</w:t>
      </w:r>
    </w:p>
    <w:p>
      <w:r>
        <w:t>Pages translated : 2</w:t>
      </w:r>
    </w:p>
    <w:p/>
    <w:p>
      <w:r>
        <w:rPr>
          <w:b/>
        </w:rPr>
        <w:t>[Pages 1–2]</w:t>
      </w:r>
    </w:p>
    <w:p>
      <w:r>
        <w:t>RESOLUTION</w:t>
        <w:br/>
        <w:t>FILE NO. C-0799/16 KB/ICER RAIL</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September 29, 2016</w:t>
      </w:r>
    </w:p>
    <w:p>
      <w:r>
        <w:t>Having reviewed the file processed in accordance with Law 15/2007, of July 3, on the Defense of Competition, notification of the economic concentration operation consisting of the acquisition by KNORR-BREMSE AG (KB) of exclusive control of ICER RAIL, S.L., previously jointly controlled by KB itself and BERKSHIRE RAIL, S.L. (of the BERKELIUM Group) (File No. C-0799/16 KB/ICER RAIL), and being in agreement with the report and proposal submitted by the Competition Directorate, the Competition Chamber of the National Commission of Markets and Competition has resolved, in application of Article 57.2.a) of the aforementioned Law, to authorize the said concentration operation. Likewise, and taking into account the existing national and community precedents in the matter and what is established in the Commission Communication on restrictions directly linked to the execution of a concentration and necessary for that purpose (2005/C 56/03), this Competition Chamber considers that the confidentiality agreement exceeding three years is not considered as an ancillary and necessary restriction for the operation, and therefore will be subject to the regulations regarding agreements between companies. All of this in accordance with the aforementioned report proposal from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