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https://www.cnmc.es/expedientes/c080016</w:t>
      </w:r>
    </w:p>
    <w:p>
      <w:r>
        <w:t>Pages translated : 2</w:t>
      </w:r>
    </w:p>
    <w:p/>
    <w:p>
      <w:r>
        <w:rPr>
          <w:b/>
        </w:rPr>
        <w:t>[Pages 1–2]</w:t>
      </w:r>
    </w:p>
    <w:p>
      <w:r>
        <w:t>RESOLUTION</w:t>
        <w:br/>
        <w:t>FILE NO. C/0800/16 PROA/INDIVIDUALS/SIGLA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29, 2016</w:t>
        <w:br/>
        <w:t>Having reviewed the file processed in accordance with Law 15/2007, of July 3, on the Defense of Competition, notification of the economic concentration operation consisting of the acquisition by PROA CAPITAL DE INVERSIONES, S.G.E.I.C., S.A. (PROA) and the MAJORITY SHAREHOLDERS (INDIVIDUALS) of joint control of SIGLA, S.A (File No. C/0800/16 PROA/INDIVIDUALS/SIGLA), and being in agreement with the report and proposal submitted by the Competition Directorate, the Competition Chamber of the National Commission of Markets and Competition has resolved, in application of Article 57.2.a) of the aforementioned Law, to authorize the said concentration operation. Furthermore, it is considered that the non-competition agreement, with respect to Spain, and in relation to its duration, can only be regarded as directly linked to the execution of the concentration insofar as it does not exceed the duration of the joint control. All of this in accordance with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