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https://www.cnmc.es/expedientes/c080216</w:t>
      </w:r>
    </w:p>
    <w:p>
      <w:r>
        <w:t>Pages translated : 2</w:t>
      </w:r>
    </w:p>
    <w:p/>
    <w:p>
      <w:r>
        <w:rPr>
          <w:b/>
        </w:rPr>
        <w:t>[Pages 1–2]</w:t>
      </w:r>
    </w:p>
    <w:p>
      <w:r>
        <w:t>RESOLUTION</w:t>
        <w:br/>
        <w:t>CASE FILE C/0802/16 DAIMLER/HAILO/MYTAXI/HAILO BUSINESS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November 24, 2016</w:t>
        <w:br/>
        <w:t>Having reviewed the case file processed in accordance with Law 15/2007, of July 3,</w:t>
        <w:br/>
        <w:t>on the Defense of Competition, notification of the economic concentration operation</w:t>
        <w:br/>
        <w:t>consisting of the acquisition by Daimler AG (DAIMLER) and Hailo</w:t>
        <w:br/>
        <w:t>Network Holdings Limited (HAILO) of joint control of the businesses of Intelligent</w:t>
        <w:br/>
        <w:t>Apps GmbH (MYTAXI) and HAILO, (C/0802/16 DAIMLER/HAILO/MYTAXI/HAILO</w:t>
        <w:br/>
        <w:t>BUSINESS), and being in agreement with the report and proposal submitted by the</w:t>
        <w:br/>
        <w:t>Competition Directorate, the Competition Chamber of the National Commission</w:t>
        <w:br/>
        <w:t>of Markets and Competition has resolved, in application of Article</w:t>
        <w:br/>
        <w:t>57.2.a) of the aforementioned Law, to authorize the said concentration operation.</w:t>
        <w:br/>
        <w:t>Furthermore, and taking into account the Communication from the European Commission regarding</w:t>
        <w:br/>
        <w:t>restrictions directly linked to the execution of a concentration and</w:t>
        <w:br/>
        <w:t>necessary for that purpose (2005/C 56/03) and the practice of national competition authorities,</w:t>
        <w:br/>
        <w:t>this Competition Chamber considers that the non-competition agreement of the shareholders with MYTAXI,</w:t>
        <w:br/>
        <w:t>to the extent that it is not considered an ancillary restriction to the notified concentration operation,</w:t>
        <w:br/>
        <w:t>should be excluded from the authorization, remaining subject, if applicable, to the regulations on agreements between companies. All of this in accordance with what is stated in the aforementioned report proposal from the Competition Directorate.</w:t>
      </w:r>
    </w:p>
    <w:p>
      <w:r>
        <w:t>This Resolution shall be communicated to the Competition Directorate of the</w:t>
        <w:br/>
        <w:t>National Commission of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