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https://www.cnmc.es/expedientes/c080316</w:t>
      </w:r>
    </w:p>
    <w:p>
      <w:r>
        <w:t>Pages translated : 2</w:t>
      </w:r>
    </w:p>
    <w:p/>
    <w:p>
      <w:r>
        <w:rPr>
          <w:b/>
        </w:rPr>
        <w:t>[Pages 1–2]</w:t>
      </w:r>
    </w:p>
    <w:p>
      <w:r>
        <w:t>RESOLUTION</w:t>
        <w:br/>
        <w:t>CASE FILE C-0803/16 GLO BIDCO/MALLINCKRODT</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November 3, 2016</w:t>
      </w:r>
    </w:p>
    <w:p>
      <w:r>
        <w:t>Having reviewed the case file processed in accordance with Law 15/2007, of July 3, on the Defense of Competition, notification of the economic concentration operation consisting of the acquisition of exclusive control by GLO BIDCO S.A.R.L., controlled by the CAPVEST funds, of the radiopharmaceutical business for nuclear imaging of MALLINCKRODT CHEMICAL HOLDINGS (MALLINCKRODT), (Case File C-0803/16 GLO BIDCO/MALLINCKRODT), and being in agreement with the report and the proposal submitted by the Directorate of Competition, the Competition Chamber of the National Commission of Markets and Competition has resolved, in application of Article 57.2.a) of the aforementioned Law, to authorize the said concentration operation. Furthermore, taking into account the existing national and community precedents in the matter and what is established in the Commission Communication on restrictions directly linked to the execution of a concentration and necessary for that purpose (2005/C 56/03), this Competition Chamber considers that the confidentiality agreement by the buyer included in the Share Purchase Agreement, insofar as it benefits the seller, is not considered directly linked to the operation and will be subject to the general regulations applicable to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