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https://www.cnmc.es/expedientes/c080516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RESOLUTION</w:t>
        <w:br/>
        <w:t>FILE NO. C/0805/16 CECEP/URBASER</w:t>
        <w:br/>
        <w:t>COMPETITION CHAMBER</w:t>
        <w:br/>
        <w:t>President</w:t>
        <w:br/>
        <w:t>Mr. José María Marín Quemada</w:t>
        <w:br/>
        <w:t>Counselors</w:t>
        <w:br/>
        <w:t>Mr. Josep Maria Guinart Solà</w:t>
        <w:br/>
        <w:t>Ms. María Ortiz Aguilar</w:t>
        <w:br/>
        <w:t>Mr. Benigno Valdés Díaz</w:t>
        <w:br/>
        <w:t>Secretary</w:t>
        <w:br/>
        <w:t>Mr. Tomás Suárez-Inclán González</w:t>
        <w:br/>
        <w:t>In Madrid, on November 10, 2016</w:t>
        <w:br/>
        <w:t>Having reviewed the file processed in accordance with Law 15/2007, of July 3,</w:t>
        <w:br/>
        <w:t>on the Defense of Competition, notification of the economic concentration operation</w:t>
        <w:br/>
        <w:t>regarding the acquisition by China Energy Conservation and</w:t>
        <w:br/>
        <w:t>Environmental Protection Group (CECEP) of exclusive control over Urbaser S.A.</w:t>
        <w:br/>
        <w:t>(URBASER), through the indirect purchase of 100% of its share capital,</w:t>
        <w:br/>
        <w:t>(File No. C/0805/16 CECEP/URBASER), and in agreement with the report and the</w:t>
        <w:br/>
        <w:t>proposal submitted by the Competition Directorate, the Competition Chamber of</w:t>
        <w:br/>
        <w:t>the National Commission on Markets and Competition has resolved, pursuant to</w:t>
        <w:br/>
        <w:t>Article 57.2.a) of the aforementioned Law, to authorize the said concentration</w:t>
        <w:br/>
        <w:t>operation. Furthermore, taking into account the Communication from the European</w:t>
        <w:br/>
        <w:t>Commission on restrictions directly linked to the execution of a concentration</w:t>
        <w:br/>
        <w:t>and necessary for that purpose (2005/C 56/03) and the practice of national</w:t>
        <w:br/>
        <w:t>competition authorities, the non-competition and non-solicitation agreements,</w:t>
        <w:br/>
        <w:t>to the extent that they exceed two years, shall be excluded from the authorization,</w:t>
        <w:br/>
        <w:t>as the last six months of the term are not considered ancillary restrictions to the</w:t>
        <w:br/>
        <w:t>notified concentration operation, remaining subject, if applicable, to the regulations</w:t>
        <w:br/>
        <w:t>on agreements between companies. All of this in accordance with what is stated in</w:t>
        <w:br/>
        <w:t>the aforementioned report proposal from the Competition Directorate.</w:t>
      </w:r>
    </w:p>
    <w:p>
      <w:r>
        <w:t>This Resolution shall be communicated to the Competition Directorate of the</w:t>
        <w:br/>
        <w:t>National Commission on Markets and Competition and notified to the interested party,</w:t>
        <w:br/>
        <w:t>informing them that it concludes the administrative procedure and that a contentious-administrative appeal may be filed against it before the National Court,</w:t>
        <w:br/>
        <w:t>within two months from the day 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