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https://www.cnmc.es/expedientes/c080616</w:t>
      </w:r>
    </w:p>
    <w:p>
      <w:r>
        <w:t>Pages translated : 1</w:t>
      </w:r>
    </w:p>
    <w:p/>
    <w:p>
      <w:r>
        <w:rPr>
          <w:b/>
        </w:rPr>
        <w:t>[Pages 1–1]</w:t>
      </w:r>
    </w:p>
    <w:p>
      <w:r>
        <w:t>RESOLUTION</w:t>
        <w:br/>
        <w:t>CASE FILE C/0806/16 BOSTON/ENDOCHOICE</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November 15, 2016</w:t>
        <w:br/>
        <w:t>Having reviewed the case file processed in accordance with Law 15/2007, of July 3,</w:t>
        <w:br/>
        <w:t>on the Defense of Competition, notification of the economic concentration operation</w:t>
        <w:br/>
        <w:t>consisting of the acquisition by BOSTON SCIENTIFIC CORPORATION (BOSTON) of</w:t>
        <w:br/>
        <w:t>exclusive control of ENDOCHOICE HOLDINGS INC. (ENDOCHOICE), (Case File C-0806/16 BOSTON/ENDOCHOICE), and in agreement with the report and proposal submitted by the Competition Directorate, the Competition Chamber of the Council of the National Commission on Markets and Competition has resolved, in application of Article 57.2.a) of the aforementioned Law,</w:t>
        <w:br/>
        <w:t>to authorize the said concentration operation.</w:t>
        <w:br/>
        <w:t>This Resolution shall be communicated to the Competition Directorate of the</w:t>
        <w:br/>
        <w:t>National Commission on Markets and Competition and notified to the interested party,</w:t>
        <w:br/>
        <w:t>informing them that it concludes the administrative process and that a contentious-administrative appeal may be filed against it before the National Court,</w:t>
        <w:br/>
        <w:t>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