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https://www.cnmc.es/expedientes/c080816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 C-0808/16 CARLYLE/ATOTECH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María Ortiz Aguilar</w:t>
        <w:br/>
        <w:t>Mr. Fernando Torremocha y García-Sáenz</w:t>
        <w:br/>
        <w:t>Mr. Benigno Valdés Díaz</w:t>
        <w:br/>
        <w:t>Secretary</w:t>
        <w:br/>
        <w:t>Mr. Tomás Suárez-Inclán González</w:t>
        <w:br/>
        <w:t>In Madrid, on November 15, 2016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of exclusive control over ATOTECH B.V.</w:t>
        <w:br/>
        <w:t>by ALPHA 3, an entity created as an acquisition vehicle and exclusively controlled</w:t>
        <w:br/>
        <w:t>by funds managed by subsidiaries of the CARLYLE Group), (Case File C-</w:t>
        <w:br/>
        <w:t>0808/16 CARLYLE/ATOTECH), and in agreement with the report and proposal</w:t>
        <w:br/>
        <w:t>submitted by the Directorate of Competition, the Competition Chamber of the</w:t>
        <w:br/>
        <w:t>National Commission of Markets and Competition has resolved, in application</w:t>
        <w:br/>
        <w:t>of Article 57.2.a) of the aforementioned Law, to authorize the said concentration operation.</w:t>
        <w:br/>
        <w:t>This Resolution shall be communicated to the Directorate of Competition of the</w:t>
        <w:br/>
        <w:t>National Commission of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