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https://www.cnmc.es/expedientes/c081016</w:t>
      </w:r>
    </w:p>
    <w:p>
      <w:r>
        <w:t>Pages translated : 1</w:t>
      </w:r>
    </w:p>
    <w:p/>
    <w:p>
      <w:r>
        <w:rPr>
          <w:b/>
        </w:rPr>
        <w:t>[Pages 1–1]</w:t>
      </w:r>
    </w:p>
    <w:p>
      <w:r>
        <w:t>RESOLUTION</w:t>
        <w:br/>
        <w:t>CASE FILE C/0810/16 RHONE/ZODIAC</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November 24, 2016</w:t>
      </w:r>
    </w:p>
    <w:p>
      <w:r>
        <w:t>Having reviewed the case file processed in accordance with Law 15/2007, of July 3, on the Defense of Competition, notification of the economic concentration operation consisting of the acquisition by RHÔNE CAPITAL L.L.C., through a subsidiary, of the entire share capital of ZODIAC POOL HOLDING S.A., (C/0810/16 RHONE/ZODIAC),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