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https://www.cnmc.es/expedientes/c081216</w:t>
      </w:r>
    </w:p>
    <w:p>
      <w:r>
        <w:t>Pages translated : 2</w:t>
      </w:r>
    </w:p>
    <w:p/>
    <w:p>
      <w:r>
        <w:rPr>
          <w:b/>
        </w:rPr>
        <w:t>[Pages 1–2]</w:t>
      </w:r>
    </w:p>
    <w:p>
      <w:r>
        <w:t>RESOLUTION</w:t>
        <w:br/>
        <w:t>C/0812/16 GAS NATURAL FENOSA/ GLP CEPSA - 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December 7, 2016</w:t>
        <w:br/>
        <w:t>Having reviewed the file processed in accordance with Law 15/2007, of July 3,</w:t>
        <w:br/>
        <w:t>on the Defense of Competition, notification of the economic concentration operation</w:t>
        <w:br/>
        <w:t>consisting of the acquisition by GAS NATURAL ANDALUCÍA, S.A., GAS NATURAL RIOJA, S.A., GAS NATURAL CASTILLA Y LEON, S.A., GAS</w:t>
        <w:br/>
        <w:t>NATURAL CASTILLA LA MANCHA, S.A., GAS NATURAL CEGAS, S.A., GAS</w:t>
        <w:br/>
        <w:t>NAVARRA, S.A., GAS NATURAL MADRID, S.A., GAS NATURAL DISTRIBUCIÓN</w:t>
        <w:br/>
        <w:t>SDG, S.A. (currently, GAS NATURAL CATALUNYA SDG, S.A.) and GAS GALICIA</w:t>
        <w:br/>
        <w:t>SOCIETY FOR THE DEVELOPMENT OF GAS, S.A.), all subsidiaries of the GAS NATURAL FENOSA group, of a maximum of 12,392 points of supply of liquefied petroleum gas through pipelines, owned by CEPSA COMERCIAL PETRÓLEO,</w:t>
        <w:br/>
        <w:t>S.A.U. (hereinafter, CEPSA), (File C/0812/16 GAS NATURAL FENOSA/ GLP</w:t>
        <w:br/>
        <w:t>CEPSA - ASSETS), and being in agreement with the report and proposal submitted</w:t>
        <w:br/>
        <w:t>by the Competition Directorate, the Competition Chamber of the National Commission</w:t>
        <w:br/>
        <w:t>of Markets and Competition has resolved, in application of art. 57.2.c) of the aforementioned Law, to authorize the said concentration operation</w:t>
        <w:br/>
        <w:t>subject to the fulfillment of the commitments presented by GNF on November 16, 2016.</w:t>
        <w:br/>
        <w:t>Furthermore, and taking into account the legislation and national and community precedents, as well as the Commission Communication on restrictions directly linked to the execution of a concentration and necessary for that purpose (2005/C 56/03), any duration exceeding 5 years is not considered ancillary or necessary for it, remaining subject to the regulations on agreements between companies. Likewise, regarding the exclusivity clauses of the bulk LPG supply contracts, they are not considered ancillary or necessary from the initial moment, remaining subject to the aforementioned regulations on agreements between companies.</w:t>
      </w:r>
    </w:p>
    <w:p>
      <w:r>
        <w:t>This Resolution shall be communicated to the Competition Directorate of the</w:t>
        <w:br/>
        <w:t>National Commission of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