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https://www.cnmc.es/expedientes/c081316</w:t>
      </w:r>
    </w:p>
    <w:p>
      <w:r>
        <w:t>Pages translated : 1</w:t>
      </w:r>
    </w:p>
    <w:p/>
    <w:p>
      <w:r>
        <w:rPr>
          <w:b/>
        </w:rPr>
        <w:t>[Pages 1–1]</w:t>
      </w:r>
    </w:p>
    <w:p>
      <w:r>
        <w:t>RESOLUTION FILE NO.: C/813/16 HELIOS/QUIRONSALUD</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December 22, 2016</w:t>
        <w:br/>
        <w:t>Having reviewed the file processed in accordance with Law 15/2007, of July 3,</w:t>
        <w:br/>
        <w:t>on the Defense of Competition, notification of the economic concentration operation</w:t>
        <w:br/>
        <w:t>consisting of the acquisition of exclusive control of IDCSALUD HOLDING,</w:t>
        <w:br/>
        <w:t>S.L. ("QUIRONSALUD") by HELIOS KLINIKEN GmbH, ("HELIOS"),</w:t>
        <w:br/>
        <w:t>belonging to the FRESENIUS group, (File No. C/813/16 HELIOS/QUIRONSALUD), and</w:t>
        <w:br/>
        <w:t>agreeing with the report and proposal submitted by the Competition Directorate, the Competition Chamber of the National Commission on Markets and Competition has resolved, in application of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