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https://www.cnmc.es/expedientes/c081516</w:t>
      </w:r>
    </w:p>
    <w:p>
      <w:r>
        <w:t>Pages translated : 1</w:t>
      </w:r>
    </w:p>
    <w:p/>
    <w:p>
      <w:r>
        <w:rPr>
          <w:b/>
        </w:rPr>
        <w:t>[Pages 1–1]</w:t>
      </w:r>
    </w:p>
    <w:p>
      <w:r>
        <w:t>RESOLUTION</w:t>
        <w:br/>
        <w:t>C/0815/16 BLACKSTONE/ARCLIGHT/Electricity Generation Plants in the USA.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December 7, 2016</w:t>
        <w:br/>
        <w:t>Having reviewed the file processed in accordance with Law 15/2007, of July 3,</w:t>
        <w:br/>
        <w:t>on the Defense of Competition, notification of the economic concentration operation</w:t>
        <w:br/>
        <w:t>consisting of the acquisition, by The Blackstone Group L.P. (BLACKSTONE) and ArcLight Capital Partners, LLC (ARCLIGHT) through</w:t>
        <w:br/>
        <w:t>Burgundy Power LLC, of joint control over four electricity generation plants located in the United States, (File C/0815/16 BLACKSTONE/</w:t>
        <w:br/>
        <w:t>ARCLIGHT/Electricity Generation Plants in the USA), and being in agreement with the</w:t>
        <w:br/>
        <w:t>report and proposal submitted by the Directorate of Competition, the Competition Chamber of the National Commission on Markets and Competition has resolved, in application of Article 57.2.c) of the aforementioned Law,</w:t>
        <w:br/>
        <w:t>to authorize the said concentration operation.</w:t>
        <w:br/>
        <w:t>This Resolution shall be communicated to the Directorate of Competition of the</w:t>
        <w:br/>
        <w:t>National Commission on Markets and Competition and notified to the interested party,</w:t>
        <w:br/>
        <w:t>informing them that it concludes the administrative procedure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