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https://www.cnmc.es/expedientes/c081616</w:t>
      </w:r>
    </w:p>
    <w:p>
      <w:r>
        <w:t>Pages translated : 1</w:t>
      </w:r>
    </w:p>
    <w:p/>
    <w:p>
      <w:r>
        <w:rPr>
          <w:b/>
        </w:rPr>
        <w:t>[Pages 1–1]</w:t>
      </w:r>
    </w:p>
    <w:p>
      <w:r>
        <w:t>RESOLUTION</w:t>
        <w:br/>
        <w:t>CASE FILE C/0816/16 WORTHINGTON/AMTROL</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Barcelona, on December 22, 2016</w:t>
        <w:br/>
        <w:t>Having reviewed the case file processed in accordance with Law 15/2007, of July 3,</w:t>
        <w:br/>
        <w:t>on the Defense of Competition, notification of the economic concentration operation</w:t>
        <w:br/>
        <w:t>consisting of the acquisition by WORTHINGTON INDUSTRIES, INC. (hereinafter, WORTHINGTON) of exclusive control of New AMTROL Holdings, Inc. (hereinafter, AMTROL), (Case File 0816/16 WORTHINGTON/AMTROL), and in agreement with the report and proposal submitted by the Competition Directorate, the Competition Chamber of the National Commission of Markets and Competition has resolved, in application of Article 57.2.a) of the aforementioned Law, to authorize the said concentration operation.</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