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https://www.cnmc.es/expedientes/c081816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FILE: C/0818/16 ACCO/ESSELTE</w:t>
        <w:br/>
        <w:t>COMPETITION CHAMBER</w:t>
        <w:br/>
        <w:t>President</w:t>
        <w:br/>
        <w:t>Mr. José María Marín Quemada</w:t>
        <w:br/>
        <w:t>Counselors</w:t>
        <w:br/>
        <w:t>Ms. Clotilde de la Higuera González</w:t>
        <w:br/>
        <w:t>Ms. María Ortiz Aguilar</w:t>
        <w:br/>
        <w:t>Mr. Fernando Torremocha y García-Sáenz</w:t>
        <w:br/>
        <w:t>Secretary</w:t>
        <w:br/>
        <w:t>Mr. Tomás Suárez-Inclán González</w:t>
        <w:br/>
        <w:t>In Madrid, on January 12,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by ACCO EUROPE LIMITED of exclusive control over</w:t>
        <w:br/>
        <w:t>ESSELTE GROUP HOLDINGS AB, (Case File C/0818/16 ACCO/ESSELTE), and in agreement with the report and proposal submitted by</w:t>
        <w:br/>
        <w:t>the Competition Directorate, the Competition Chamber of the Council of the National Commission on Markets and Competition has resolved, in application of Article</w:t>
        <w:br/>
        <w:t>57.2.a) of the aforementioned Law, to authorize the said concentration operation.</w:t>
        <w:br/>
        <w:t>This Resolution shall be communicated to the Competition Directorate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