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https://www.cnmc.es/expedientes/c081916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FILE NO.: C/0819/16 GRUPO ACEK / ESSA PALAU</w:t>
        <w:br/>
        <w:t>COMPETITION CHAMBER</w:t>
        <w:br/>
        <w:t>President</w:t>
        <w:br/>
        <w:t>Mr. José María Marín Quemada</w:t>
        <w:br/>
        <w:t>Counselors</w:t>
        <w:br/>
        <w:t>Ms. Clotilde de la Higuera González</w:t>
        <w:br/>
        <w:t>Ms. María Ortiz Aguilar</w:t>
        <w:br/>
        <w:t>Mr. Fernando Torremocha y García-Sáenz</w:t>
        <w:br/>
        <w:t>Secretary</w:t>
        <w:br/>
        <w:t>Mr. Tomás Suárez-Inclán González</w:t>
        <w:br/>
        <w:t>In Madrid, on January 12, 2017</w:t>
        <w:br/>
        <w:t>Having reviewed the file processed in accordance with Law 15/2007, of July 3,</w:t>
        <w:br/>
        <w:t>on the Defense of Competition, notification of the economic concentration operation</w:t>
        <w:br/>
        <w:t>consisting of the acquisition of exclusive control by ACEK</w:t>
        <w:br/>
        <w:t>DESARROLLO Y GESTIÓN INDUSTRIAL, S.L. (GRUPO ACEK) over ESSA</w:t>
        <w:br/>
        <w:t>PALAU, S.A. (ESSA PALAU), in which it will indirectly hold 100%</w:t>
        <w:br/>
        <w:t>of the share capital. Previously, GRUPO ACEK already held 40% of the share capital</w:t>
        <w:br/>
        <w:t>of the acquired company, in which it had joint control with the seller due to</w:t>
        <w:br/>
        <w:t>certain veto rights over strategic decisions of ESSA PALAU</w:t>
        <w:br/>
        <w:t>(File No. C/0819/16 GRUPO ACEK / ESSA PALAU), and in agreement with the</w:t>
        <w:br/>
        <w:t>report and proposal submitted by the Directorate of Competition, the Competition Chamber</w:t>
        <w:br/>
        <w:t>of the National Commission of Markets and Competition has resolved, in application of Article 57.2.a) of the aforementioned Law,</w:t>
        <w:br/>
        <w:t>to authorize the said concentration operation.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