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https://www.cnmc.es/expedientes/c082016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FILE: C/0820/16 PAI /SARquavitae</w:t>
        <w:br/>
        <w:t>COMPETITION CHAMBER</w:t>
        <w:br/>
        <w:t>President</w:t>
        <w:br/>
        <w:t>Mr. José María Marín Quemada</w:t>
        <w:br/>
        <w:t>Counselors</w:t>
        <w:br/>
        <w:t>Mr. Josep María Guinart Solà</w:t>
        <w:br/>
        <w:t>Ms. Clotilde de la Higuera González</w:t>
        <w:br/>
        <w:t>Ms. María Ortiz Aguilar</w:t>
        <w:br/>
        <w:t>Secretary</w:t>
        <w:br/>
        <w:t>Mr. Tomás Suárez-Inclán González</w:t>
        <w:br/>
        <w:t>In Madrid, on January 26, 2017</w:t>
        <w:br/>
        <w:t>Having reviewed the file processed in accordance with Law 15/2007, of July 3,</w:t>
        <w:br/>
        <w:t>on the Defense of Competition, notification of the economic concentration operation</w:t>
        <w:br/>
        <w:t>consisting of the acquisition of exclusive control of SARquavitae SERVICIOS</w:t>
        <w:br/>
        <w:t>A LA DEPENDENCIA, S.L. (“SARquavitae”) by GERIAVI, S.A.U, a company</w:t>
        <w:br/>
        <w:t>controlled by investment funds managed by PAI PARTNERS SAS (“PAI”),</w:t>
        <w:br/>
        <w:t>(File C/0820/16 PAI /SARquavitae), and in agreement with the report and the</w:t>
        <w:br/>
        <w:t>proposal submitted by the Competition Directorate, the Competition Chamber of</w:t>
        <w:br/>
        <w:t>the National Commission on Markets and Competition has resolved, in</w:t>
        <w:br/>
        <w:t>application of Article 57.2.a) of the aforementioned Law, to authorize the</w:t>
        <w:br/>
        <w:t>aforementioned concentration operation.</w:t>
        <w:br/>
        <w:t>This Resolution shall be communicated to the Competition Directorate of the</w:t>
        <w:br/>
        <w:t>National Commission on Markets and Competition and notified to the interested</w:t>
        <w:br/>
        <w:t>party, informing them that it concludes the administrative process and that a</w:t>
        <w:br/>
        <w:t>contentious-administrative appeal may be filed against it before the National</w:t>
        <w:br/>
        <w:t>Court, within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